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A054B4" w:rsidRPr="00FD67FF" w:rsidTr="00540CE9">
        <w:trPr>
          <w:trHeight w:val="1730"/>
        </w:trPr>
        <w:tc>
          <w:tcPr>
            <w:tcW w:w="4047" w:type="dxa"/>
            <w:hideMark/>
          </w:tcPr>
          <w:p w:rsidR="00A054B4" w:rsidRPr="00FD67FF" w:rsidRDefault="00A054B4" w:rsidP="00540CE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</w:rPr>
            </w:pPr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Баш</w:t>
            </w:r>
            <w:r w:rsidRPr="00FD67FF">
              <w:rPr>
                <w:rFonts w:ascii="Times New Roman" w:eastAsia="MS Mincho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ортостан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Республикаhының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 </w:t>
            </w:r>
            <w:r w:rsidRPr="00FD67FF">
              <w:rPr>
                <w:rFonts w:ascii="Times New Roman" w:eastAsia="MS Mincho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алтасы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районы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муниципаль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районының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r w:rsidRPr="00FD67FF">
              <w:rPr>
                <w:rFonts w:ascii="Times New Roman" w:eastAsia="Times New Roman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алмыябаш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ауыл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советыауыл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proofErr w:type="spell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билә</w:t>
            </w:r>
            <w:proofErr w:type="gramStart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м</w:t>
            </w:r>
            <w:proofErr w:type="gram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әhе</w:t>
            </w:r>
            <w:proofErr w:type="spellEnd"/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</w:t>
            </w:r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val="be-BY" w:eastAsia="ru-RU"/>
              </w:rPr>
              <w:t>советы</w:t>
            </w:r>
          </w:p>
        </w:tc>
        <w:tc>
          <w:tcPr>
            <w:tcW w:w="1596" w:type="dxa"/>
            <w:hideMark/>
          </w:tcPr>
          <w:p w:rsidR="00A054B4" w:rsidRPr="00FD67FF" w:rsidRDefault="00A054B4" w:rsidP="00540CE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7F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35D770B" wp14:editId="33AC9A18">
                  <wp:extent cx="90487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A054B4" w:rsidRPr="00FD67FF" w:rsidRDefault="00A054B4" w:rsidP="00540CE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</w:rPr>
            </w:pPr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val="be-BY" w:eastAsia="ru-RU"/>
              </w:rPr>
              <w:t xml:space="preserve">Совет </w:t>
            </w:r>
            <w:r w:rsidRPr="00FD67FF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A054B4" w:rsidRDefault="00A054B4" w:rsidP="00A054B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7FF">
        <w:rPr>
          <w:rFonts w:ascii="Times New Roman" w:eastAsia="Times New Roman" w:hAnsi="Times New Roman" w:cs="Times New Roman"/>
          <w:color w:val="000000"/>
          <w:w w:val="96"/>
          <w:lang w:eastAsia="ru-RU"/>
        </w:rPr>
        <w:t xml:space="preserve">Ленин 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урамы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, 16, 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Калмыябаш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ауылы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, 452866 </w:t>
      </w:r>
      <w:r w:rsidRPr="00FD67FF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ул. Ленина, 16, 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алмиябаш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,  452866 </w:t>
      </w:r>
      <w:r w:rsidRPr="00FD67FF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                                 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Тел.: (34779) 2-71-40, Факс 2-71-07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67FF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   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Тел.: (34779) 2-71-40, Факс (34779)2-71-07 </w:t>
      </w:r>
    </w:p>
    <w:p w:rsidR="00A054B4" w:rsidRPr="00FD67FF" w:rsidRDefault="00A054B4" w:rsidP="00A054B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be-BY"/>
        </w:rPr>
      </w:pP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admkalmiyabash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admkalmiyabash</w:t>
      </w:r>
      <w:proofErr w:type="spellEnd"/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FD67FF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A054B4" w:rsidRPr="00FD67FF" w:rsidRDefault="00A054B4" w:rsidP="00A054B4">
      <w:pPr>
        <w:autoSpaceDN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lang w:eastAsia="ru-RU"/>
        </w:rPr>
      </w:pPr>
      <w:r w:rsidRPr="00FD67FF">
        <w:rPr>
          <w:rFonts w:ascii="Times New Roman" w:eastAsia="Times New Roman" w:hAnsi="Times New Roman" w:cs="Times New Roman"/>
          <w:color w:val="000000"/>
          <w:lang w:eastAsia="ru-RU"/>
        </w:rPr>
        <w:t>ОКПО 4277649    ОГРН 1020201010675     ИНН 0227000774</w:t>
      </w:r>
    </w:p>
    <w:p w:rsidR="00A054B4" w:rsidRPr="00FD67FF" w:rsidRDefault="00A054B4" w:rsidP="00A054B4">
      <w:pPr>
        <w:pBdr>
          <w:top w:val="thinThickThinSmallGap" w:sz="24" w:space="0" w:color="auto"/>
        </w:pBd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А Р А Р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proofErr w:type="spellStart"/>
      <w:proofErr w:type="gramStart"/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A054B4" w:rsidRPr="00FD67FF" w:rsidRDefault="00A054B4" w:rsidP="00A054B4">
      <w:pPr>
        <w:pBdr>
          <w:top w:val="thinThickThinSmallGap" w:sz="24" w:space="0" w:color="auto"/>
        </w:pBdr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 дека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 2021 й                   № 256</w:t>
      </w:r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FD6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декабря  2021 г</w:t>
      </w:r>
    </w:p>
    <w:p w:rsidR="00A054B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Times New Roman"/>
          <w:color w:val="000000"/>
          <w:sz w:val="8"/>
          <w:szCs w:val="8"/>
          <w:lang w:eastAsia="ru-RU"/>
        </w:rPr>
      </w:pPr>
    </w:p>
    <w:p w:rsidR="00A054B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Times New Roman"/>
          <w:color w:val="000000"/>
          <w:sz w:val="8"/>
          <w:szCs w:val="8"/>
          <w:lang w:eastAsia="ru-RU"/>
        </w:rPr>
      </w:pPr>
    </w:p>
    <w:p w:rsidR="00A054B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Times New Roman"/>
          <w:color w:val="000000"/>
          <w:sz w:val="8"/>
          <w:szCs w:val="8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A692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Калмиябашевский</w:t>
      </w:r>
      <w:r w:rsidRPr="00BA692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Калтасинский</w:t>
      </w:r>
      <w:r w:rsidRPr="00BA692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 Республики Башкортостан </w:t>
      </w:r>
    </w:p>
    <w:p w:rsidR="00A054B4" w:rsidRDefault="00A054B4" w:rsidP="00A054B4">
      <w:pPr>
        <w:autoSpaceDN w:val="0"/>
        <w:spacing w:after="0" w:line="302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Default="00A054B4" w:rsidP="00A054B4">
      <w:pPr>
        <w:autoSpaceDN w:val="0"/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Pr="00C56921" w:rsidRDefault="00A054B4" w:rsidP="00A054B4">
      <w:pPr>
        <w:autoSpaceDN w:val="0"/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требования Прокуратуры Калтасинского района Республики Башкортостан от 23.12.2021 года № 36д/1-2021, Совет сельского поселения Калмиябашевский сельсовет муниципального района Калтасинский район Республики Башкортостан </w:t>
      </w:r>
      <w:r w:rsidRPr="00C5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054B4" w:rsidRPr="00C56921" w:rsidRDefault="00A054B4" w:rsidP="00A054B4">
      <w:pPr>
        <w:autoSpaceDN w:val="0"/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Default="00A054B4" w:rsidP="00A054B4">
      <w:pPr>
        <w:autoSpaceDN w:val="0"/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BA692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BA69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Башкортостан.</w:t>
      </w:r>
    </w:p>
    <w:p w:rsidR="00A054B4" w:rsidRPr="00BA6922" w:rsidRDefault="00A054B4" w:rsidP="00A054B4">
      <w:pPr>
        <w:autoSpaceDN w:val="0"/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Pr="00C56921" w:rsidRDefault="00A054B4" w:rsidP="00A054B4">
      <w:pPr>
        <w:tabs>
          <w:tab w:val="left" w:pos="946"/>
        </w:tabs>
        <w:autoSpaceDN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обнародовать на информационном стенде в здании администрации сельского поселения Калмиябашевский сельсовет муниципального района Калтасинский район Республики Башкортостан.</w:t>
      </w:r>
    </w:p>
    <w:p w:rsidR="00A054B4" w:rsidRPr="00C56921" w:rsidRDefault="00A054B4" w:rsidP="00A054B4">
      <w:pPr>
        <w:tabs>
          <w:tab w:val="left" w:pos="946"/>
        </w:tabs>
        <w:autoSpaceDN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Pr="00C56921" w:rsidRDefault="00A054B4" w:rsidP="00A054B4">
      <w:pPr>
        <w:tabs>
          <w:tab w:val="left" w:pos="769"/>
        </w:tabs>
        <w:autoSpaceDN w:val="0"/>
        <w:spacing w:after="300" w:line="30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налогам, вопросам муниципальной собственности.</w:t>
      </w:r>
    </w:p>
    <w:p w:rsidR="00A054B4" w:rsidRPr="00C56921" w:rsidRDefault="00A054B4" w:rsidP="00A054B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4B4" w:rsidRPr="00C56921" w:rsidRDefault="00A054B4" w:rsidP="00A054B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4B4" w:rsidRPr="00C56921" w:rsidRDefault="00A054B4" w:rsidP="00A054B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4B4" w:rsidRPr="00C56921" w:rsidRDefault="00A054B4" w:rsidP="00A054B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В.В. Маязов</w:t>
      </w:r>
    </w:p>
    <w:p w:rsidR="00A054B4" w:rsidRPr="00C56921" w:rsidRDefault="00A054B4" w:rsidP="00A054B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054B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054B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054B4" w:rsidRDefault="00A054B4" w:rsidP="00A054B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054B4" w:rsidRDefault="00A054B4" w:rsidP="00A054B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054B4" w:rsidRPr="00AA7F3A" w:rsidRDefault="00A054B4" w:rsidP="00A054B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</w:t>
      </w:r>
    </w:p>
    <w:p w:rsidR="00A054B4" w:rsidRPr="00AA7F3A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 решению Совета сельского поселения </w:t>
      </w:r>
    </w:p>
    <w:p w:rsidR="00A054B4" w:rsidRPr="00AA7F3A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Калмиябашевский сельсовет                                                                              муниципального района</w:t>
      </w:r>
    </w:p>
    <w:p w:rsidR="00A054B4" w:rsidRPr="00AA7F3A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Калтасинский район</w:t>
      </w:r>
    </w:p>
    <w:p w:rsidR="00A054B4" w:rsidRPr="00AA7F3A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Республики Башкортостан</w:t>
      </w:r>
    </w:p>
    <w:p w:rsidR="00A054B4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22 декабря 2021 года № 256</w:t>
      </w:r>
    </w:p>
    <w:p w:rsidR="00A054B4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B4" w:rsidRPr="00AA7F3A" w:rsidRDefault="00A054B4" w:rsidP="00A0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87E77" w:rsidRDefault="00A054B4" w:rsidP="00A054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054B4" w:rsidRPr="00B87E77" w:rsidRDefault="00A054B4" w:rsidP="00A054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</w:t>
      </w:r>
    </w:p>
    <w:p w:rsidR="00A054B4" w:rsidRPr="00B87E77" w:rsidRDefault="00A054B4" w:rsidP="00A054B4">
      <w:pPr>
        <w:autoSpaceDN w:val="0"/>
        <w:spacing w:after="0" w:line="302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(собраний делегатов) в целях рассмотрения и обсуждения вопросов внесения инициативных проектов в сельском поселении </w:t>
      </w:r>
      <w:r w:rsidRPr="00B87E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r w:rsidRPr="00B87E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</w:t>
      </w:r>
      <w:r w:rsidRPr="00B87E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54B4" w:rsidRPr="00BA6922" w:rsidRDefault="00A054B4" w:rsidP="00A054B4">
      <w:pPr>
        <w:autoSpaceDN w:val="0"/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4B4" w:rsidRPr="00BA6922" w:rsidRDefault="00A054B4" w:rsidP="00A054B4">
      <w:pPr>
        <w:widowControl w:val="0"/>
        <w:numPr>
          <w:ilvl w:val="0"/>
          <w:numId w:val="2"/>
        </w:numPr>
        <w:tabs>
          <w:tab w:val="left" w:pos="3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A69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Калмиябашевский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BA69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назначения и проведения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A054B4" w:rsidRPr="00BA6922" w:rsidRDefault="00A054B4" w:rsidP="00A054B4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A054B4" w:rsidRPr="00BA6922" w:rsidRDefault="00A054B4" w:rsidP="00A054B4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A69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A054B4" w:rsidRPr="00BA6922" w:rsidRDefault="00A054B4" w:rsidP="00A054B4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A054B4" w:rsidRPr="00BA6922" w:rsidRDefault="00A054B4" w:rsidP="00A054B4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A054B4" w:rsidRPr="00BA6922" w:rsidRDefault="00A054B4" w:rsidP="00A054B4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2"/>
        </w:numPr>
        <w:tabs>
          <w:tab w:val="left" w:pos="1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A054B4" w:rsidRPr="00BA6922" w:rsidRDefault="00A054B4" w:rsidP="00A054B4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A054B4" w:rsidRPr="00BA6922" w:rsidRDefault="00A054B4" w:rsidP="00A054B4">
      <w:pPr>
        <w:widowControl w:val="0"/>
        <w:numPr>
          <w:ilvl w:val="1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A054B4" w:rsidRPr="00BA6922" w:rsidRDefault="00A054B4" w:rsidP="00A054B4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Инициатива проведения и порядок назначения собраний, конференций</w:t>
      </w:r>
    </w:p>
    <w:p w:rsidR="00A054B4" w:rsidRPr="00BA6922" w:rsidRDefault="00A054B4" w:rsidP="00A054B4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A054B4" w:rsidRPr="00BA6922" w:rsidRDefault="00A054B4" w:rsidP="00A054B4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A054B4" w:rsidRPr="00BA6922" w:rsidRDefault="00A054B4" w:rsidP="00A054B4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A054B4" w:rsidRPr="00BA6922" w:rsidRDefault="00A054B4" w:rsidP="00A054B4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инициативной группы должен содержать следующие данные: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(проекты), который (которые) предлагается обсудить;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054B4" w:rsidRPr="00BA6922" w:rsidRDefault="00A054B4" w:rsidP="00A054B4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A69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054B4" w:rsidRPr="00BA6922" w:rsidRDefault="00A054B4" w:rsidP="00A054B4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A054B4" w:rsidRPr="00BA6922" w:rsidRDefault="00A054B4" w:rsidP="00A054B4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A69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A054B4" w:rsidRPr="00BA6922" w:rsidRDefault="00A054B4" w:rsidP="00A054B4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A054B4" w:rsidRPr="00BA6922" w:rsidRDefault="00A054B4" w:rsidP="00A054B4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A054B4" w:rsidRPr="00BA6922" w:rsidRDefault="00A054B4" w:rsidP="00A054B4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повестка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A054B4" w:rsidRPr="00BA6922" w:rsidRDefault="00A054B4" w:rsidP="00A054B4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A054B4" w:rsidRPr="00BA6922" w:rsidRDefault="00A054B4" w:rsidP="00A054B4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A054B4" w:rsidRPr="00BA6922" w:rsidRDefault="00A054B4" w:rsidP="00A054B4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A054B4" w:rsidRPr="00BA6922" w:rsidRDefault="00A054B4" w:rsidP="00A054B4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A054B4" w:rsidRPr="00BA6922" w:rsidRDefault="00A054B4" w:rsidP="00A054B4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A054B4" w:rsidRPr="00BA6922" w:rsidRDefault="00A054B4" w:rsidP="00A054B4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A054B4" w:rsidRPr="00BA6922" w:rsidRDefault="00A054B4" w:rsidP="00A054B4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-ым) вопросу (вопросам), принятое решение (обращение).</w:t>
      </w:r>
    </w:p>
    <w:p w:rsidR="00A054B4" w:rsidRPr="00BA6922" w:rsidRDefault="00A054B4" w:rsidP="00A054B4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A054B4" w:rsidRPr="00BA6922" w:rsidRDefault="00A054B4" w:rsidP="00A054B4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A054B4" w:rsidRPr="00BA6922" w:rsidRDefault="00A054B4" w:rsidP="00A054B4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-их) интересы более 350 граждан</w:t>
      </w:r>
      <w:r w:rsidRPr="00BA69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A054B4" w:rsidRPr="00BA6922" w:rsidRDefault="00A054B4" w:rsidP="00A054B4">
      <w:pPr>
        <w:widowControl w:val="0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BA6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100 граждан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право на участие в собрании.</w:t>
      </w:r>
    </w:p>
    <w:p w:rsidR="00A054B4" w:rsidRPr="00BA6922" w:rsidRDefault="00A054B4" w:rsidP="00A054B4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A054B4" w:rsidRPr="00BA6922" w:rsidRDefault="00A054B4" w:rsidP="00A054B4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A054B4" w:rsidRPr="00BA6922" w:rsidRDefault="00A054B4" w:rsidP="00A054B4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A054B4" w:rsidRPr="00BA6922" w:rsidRDefault="00A054B4" w:rsidP="00A054B4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A054B4" w:rsidRPr="00BA6922" w:rsidRDefault="00A054B4" w:rsidP="00A054B4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A054B4" w:rsidRPr="00BA6922" w:rsidRDefault="00A054B4" w:rsidP="00A054B4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A054B4" w:rsidRPr="00BA6922" w:rsidRDefault="00A054B4" w:rsidP="00A054B4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A054B4" w:rsidRPr="00BA6922" w:rsidRDefault="00A054B4" w:rsidP="00A054B4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A054B4" w:rsidRPr="00BA6922" w:rsidRDefault="00A054B4" w:rsidP="00A054B4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A054B4" w:rsidRPr="00BA6922" w:rsidRDefault="00A054B4" w:rsidP="00A054B4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 сведения органов местного самоуправления и заинтересованных лиц.</w:t>
      </w:r>
    </w:p>
    <w:p w:rsidR="00A054B4" w:rsidRPr="00BA6922" w:rsidRDefault="00A054B4" w:rsidP="00A054B4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A054B4" w:rsidRPr="00BA6922" w:rsidRDefault="00A054B4" w:rsidP="00A054B4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A054B4" w:rsidRPr="00BA6922" w:rsidRDefault="00A054B4" w:rsidP="00A054B4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A054B4" w:rsidRPr="00BA6922" w:rsidRDefault="00A054B4" w:rsidP="00A054B4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 и итоги собрания, конференции оформляются протоколом.</w:t>
      </w:r>
    </w:p>
    <w:p w:rsidR="00A054B4" w:rsidRPr="00BA6922" w:rsidRDefault="00A054B4" w:rsidP="00A054B4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рассматриваемого инициативного проекта (проектов), выносимог</w:t>
      </w:r>
      <w:proofErr w:type="gramStart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-ых) на голосование;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и принятое решение;</w:t>
      </w:r>
    </w:p>
    <w:p w:rsidR="00A054B4" w:rsidRPr="00BA6922" w:rsidRDefault="00A054B4" w:rsidP="00A054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A054B4" w:rsidRPr="00BA6922" w:rsidRDefault="00A054B4" w:rsidP="00A054B4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054B4" w:rsidRPr="00BA6922" w:rsidRDefault="00A054B4" w:rsidP="00A054B4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A054B4" w:rsidRPr="00BA6922" w:rsidRDefault="00A054B4" w:rsidP="00A054B4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A054B4" w:rsidRPr="00BA6922" w:rsidRDefault="00A054B4" w:rsidP="00A054B4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собраний, конференций подлежат официальному опубликованию (обнародованию).</w:t>
      </w:r>
    </w:p>
    <w:p w:rsidR="00A054B4" w:rsidRPr="00BA6922" w:rsidRDefault="00A054B4" w:rsidP="00A054B4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A054B4" w:rsidRPr="00BA6922" w:rsidRDefault="00A054B4" w:rsidP="00A054B4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Калмиябашевский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Калтасинский</w:t>
      </w:r>
      <w:r w:rsidRPr="00BA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A054B4" w:rsidRPr="00BA6922" w:rsidRDefault="00A054B4" w:rsidP="00A054B4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4B4" w:rsidRPr="00BA6922" w:rsidRDefault="00A054B4" w:rsidP="00A054B4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Default="00DE0922">
      <w:bookmarkStart w:id="0" w:name="_GoBack"/>
      <w:bookmarkEnd w:id="0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9"/>
    <w:rsid w:val="003531C8"/>
    <w:rsid w:val="003E7788"/>
    <w:rsid w:val="007E0E92"/>
    <w:rsid w:val="009F43D9"/>
    <w:rsid w:val="00A054B4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4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4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14161</Characters>
  <Application>Microsoft Office Word</Application>
  <DocSecurity>0</DocSecurity>
  <Lines>118</Lines>
  <Paragraphs>33</Paragraphs>
  <ScaleCrop>false</ScaleCrop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2022-02-15T09:46:00Z</dcterms:created>
  <dcterms:modified xsi:type="dcterms:W3CDTF">2022-02-15T09:46:00Z</dcterms:modified>
</cp:coreProperties>
</file>